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2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C94A72" w:rsidRPr="009B28B3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28B3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МБУДО «ДШИ №7» 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________________А.Е.Еремина</w:t>
      </w:r>
      <w:proofErr w:type="spellEnd"/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29"  августа  201</w:t>
      </w:r>
      <w:r w:rsidR="007C3116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C94A72" w:rsidRDefault="00C94A72" w:rsidP="00C94A72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108" w:type="dxa"/>
        <w:tblLayout w:type="fixed"/>
        <w:tblLook w:val="000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C94A72" w:rsidTr="001D6F1F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94A72" w:rsidTr="001D6F1F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94A72" w:rsidTr="001D6F1F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94A72" w:rsidTr="001D6F1F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94A72" w:rsidTr="001D6F1F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C94A72" w:rsidTr="001D6F1F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94A72" w:rsidTr="001D6F1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C94A72" w:rsidTr="001D6F1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C94A72" w:rsidTr="001D6F1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A72" w:rsidTr="001D6F1F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4A72" w:rsidTr="001D6F1F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94A72" w:rsidTr="001D6F1F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94A72" w:rsidRDefault="00C94A72" w:rsidP="00C94A72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(В.07.–В.12.)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игры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94A72" w:rsidRDefault="00C94A72" w:rsidP="00C94A72">
      <w:pPr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C94A72" w:rsidRDefault="00C94A72" w:rsidP="00C94A7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ДШИ для консультаций по другим учебным предметам.</w:t>
      </w: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ДШИ для консультаций по другим учебным предметам.</w:t>
      </w: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94A72" w:rsidRDefault="00C94A72" w:rsidP="00C94A72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отечественная)» – 1 час в неделю.</w:t>
      </w:r>
    </w:p>
    <w:p w:rsidR="00C94A72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</w:t>
      </w:r>
    </w:p>
    <w:p w:rsidR="00C94A72" w:rsidRPr="009B28B3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28B3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МБУДО «ДШИ №7» 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________________А.Е.Еремина</w:t>
      </w:r>
      <w:proofErr w:type="spellEnd"/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29"  августа  201</w:t>
      </w:r>
      <w:r w:rsidR="00707208">
        <w:rPr>
          <w:rFonts w:ascii="Times New Roman" w:hAnsi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C94A72" w:rsidRDefault="00C94A72" w:rsidP="00C94A72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108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C94A72" w:rsidTr="001D6F1F">
        <w:trPr>
          <w:gridAfter w:val="1"/>
          <w:wAfter w:w="21" w:type="dxa"/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C94A72" w:rsidTr="001D6F1F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C94A72" w:rsidTr="001D6F1F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C94A72" w:rsidTr="001D6F1F">
        <w:trPr>
          <w:gridAfter w:val="1"/>
          <w:wAfter w:w="21" w:type="dxa"/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94A72" w:rsidTr="001D6F1F">
        <w:trPr>
          <w:gridAfter w:val="1"/>
          <w:wAfter w:w="21" w:type="dxa"/>
          <w:cantSplit/>
          <w:trHeight w:val="20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C94A72" w:rsidTr="001D6F1F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94A72" w:rsidTr="001D6F1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A72" w:rsidTr="001D6F1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4A72" w:rsidTr="001D6F1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A72" w:rsidTr="001D6F1F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94A72" w:rsidTr="001D6F1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C94A72" w:rsidTr="001D6F1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общей трудоемкости ОП </w:t>
      </w:r>
      <w:r>
        <w:rPr>
          <w:rFonts w:ascii="Times New Roman" w:hAnsi="Times New Roman"/>
          <w:bCs/>
          <w:lang w:eastAsia="ru-RU"/>
        </w:rPr>
        <w:t xml:space="preserve">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По учебному предмету «Специальность» ч</w:t>
      </w:r>
      <w:r>
        <w:rPr>
          <w:rFonts w:ascii="Times New Roman" w:hAnsi="Times New Roman"/>
          <w:lang w:eastAsia="ru-RU"/>
        </w:rPr>
        <w:t xml:space="preserve">асы концертмейстера предусматриваются в объеме от 60 до 100% аудиторного времени. 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В случае привлечения к реализации учебного предмета работников ДШИ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предложены два учебных предмета вариативной части и возможность их реализации. </w:t>
      </w:r>
      <w:proofErr w:type="gramStart"/>
      <w:r>
        <w:rPr>
          <w:rFonts w:ascii="Times New Roman" w:hAnsi="Times New Roman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(В.03.–В.09.)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рекомендуется реализовывать учебный предмет «Хоровой класс» на протяжении всего периода обучения. В случае реализации учебного предмета «Хоровой класс» и консультаций по «Сводному хору» для концертмейстера предусматриваются часы в объеме не менее 80% от аудиторного времени. </w:t>
      </w: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В случае отсутствия реализации данного учебного предмета, часы, предусмотренные на консультации «Сводный хор», используются на усмотрение ДШИ на консультации по другим учебным предметам.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Учебный предмет «Оркестровый класс» предполагает занятия народного оркестра,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ДШИ на консультации по другим учебным предметам. 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 максимальной нагрузки обучающихся не должен превышать 26 часов в неделю, аудиторной – 14 часов в неделю. 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– это обязательный раздел структуры ОП. Они могут проводиться рассредоточено или в счет </w:t>
      </w:r>
      <w:r>
        <w:rPr>
          <w:rFonts w:ascii="Times New Roman" w:hAnsi="Times New Roman"/>
          <w:lang w:eastAsia="ru-RU"/>
        </w:rPr>
        <w:lastRenderedPageBreak/>
        <w:t>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</w:t>
      </w:r>
    </w:p>
    <w:p w:rsidR="00C94A72" w:rsidRDefault="00C94A72" w:rsidP="00C94A7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C94A72" w:rsidRDefault="00C94A72" w:rsidP="00C94A7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C94A72" w:rsidRDefault="00C94A72" w:rsidP="00C94A72">
      <w:pPr>
        <w:spacing w:after="0" w:line="240" w:lineRule="auto"/>
        <w:ind w:firstLine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ru-RU"/>
        </w:rPr>
        <w:t xml:space="preserve">Объем </w:t>
      </w:r>
      <w:r>
        <w:rPr>
          <w:rFonts w:ascii="Times New Roman" w:hAnsi="Times New Roman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 – 1 час в неделю; «Оркестровый класс» – 1 час в неделю; «Хоровой класс» – 0,5 часа в неделю.</w:t>
      </w:r>
      <w:proofErr w:type="gramEnd"/>
    </w:p>
    <w:p w:rsidR="004A11B6" w:rsidRDefault="00C94A72" w:rsidP="00C94A72"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4A11B6" w:rsidSect="00C94A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C2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07208"/>
    <w:rsid w:val="00720B3C"/>
    <w:rsid w:val="007C3116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BB573A"/>
    <w:rsid w:val="00C0294A"/>
    <w:rsid w:val="00C36698"/>
    <w:rsid w:val="00C63C0D"/>
    <w:rsid w:val="00C71DF3"/>
    <w:rsid w:val="00C94A72"/>
    <w:rsid w:val="00CE24C6"/>
    <w:rsid w:val="00D14CCA"/>
    <w:rsid w:val="00D266DF"/>
    <w:rsid w:val="00D42AC2"/>
    <w:rsid w:val="00EA1CE5"/>
    <w:rsid w:val="00EE5AF9"/>
    <w:rsid w:val="00F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7</dc:creator>
  <cp:lastModifiedBy>ДШИ №7</cp:lastModifiedBy>
  <cp:revision>2</cp:revision>
  <cp:lastPrinted>2017-08-03T13:27:00Z</cp:lastPrinted>
  <dcterms:created xsi:type="dcterms:W3CDTF">2019-09-26T13:07:00Z</dcterms:created>
  <dcterms:modified xsi:type="dcterms:W3CDTF">2019-09-26T13:07:00Z</dcterms:modified>
</cp:coreProperties>
</file>